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pPr>
        <w:pStyle w:val="4"/>
        <w:rPr>
          <w:rFonts w:ascii="Times New Roman" w:hAnsi="Times New Roman" w:eastAsia="黑体" w:cs="Times New Roman"/>
          <w:b w:val="0"/>
        </w:rPr>
      </w:pPr>
      <w:bookmarkStart w:id="0" w:name="_Toc528933599"/>
      <w:bookmarkStart w:id="1" w:name="_Toc85430465"/>
      <w:bookmarkStart w:id="2" w:name="_Toc235856996"/>
      <w:bookmarkStart w:id="3" w:name="_Toc389141966"/>
      <w:bookmarkStart w:id="4" w:name="_Toc433984928"/>
      <w:r>
        <w:rPr>
          <w:rFonts w:ascii="Times New Roman" w:hAnsi="Times New Roman" w:eastAsia="黑体" w:cs="Times New Roman"/>
          <w:b w:val="0"/>
        </w:rPr>
        <w:t>封面</w:t>
      </w:r>
      <w:bookmarkEnd w:id="0"/>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sz w:val="52"/>
        </w:rPr>
      </w:pPr>
      <w:r>
        <w:rPr>
          <w:rFonts w:ascii="Times New Roman" w:hAnsi="Times New Roman" w:cs="Times New Roman"/>
          <w:sz w:val="52"/>
        </w:rPr>
        <w:t>竞价文件</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pPr>
        <w:rPr>
          <w:rFonts w:ascii="Times New Roman" w:hAnsi="Times New Roman" w:eastAsia="黑体" w:cs="Times New Roman"/>
        </w:rPr>
      </w:pPr>
    </w:p>
    <w:p>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pPr>
        <w:rPr>
          <w:rFonts w:ascii="Times New Roman" w:hAnsi="Times New Roman" w:cs="Times New Roman"/>
        </w:rPr>
      </w:pPr>
      <w:r>
        <w:rPr>
          <w:rFonts w:ascii="Times New Roman" w:hAnsi="Times New Roman" w:cs="Times New Roman"/>
        </w:rPr>
        <w:br w:type="page"/>
      </w:r>
    </w:p>
    <w:p>
      <w:pPr>
        <w:jc w:val="center"/>
        <w:rPr>
          <w:rFonts w:ascii="Times New Roman" w:hAnsi="Times New Roman" w:eastAsia="黑体" w:cs="Times New Roman"/>
          <w:sz w:val="32"/>
        </w:rPr>
      </w:pPr>
      <w:r>
        <w:rPr>
          <w:rFonts w:ascii="Times New Roman" w:hAnsi="Times New Roman" w:eastAsia="黑体" w:cs="Times New Roman"/>
          <w:sz w:val="32"/>
        </w:rPr>
        <w:t>目    录</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有效的企业法人营业执照副本或事业单位法人证书复印件....8</w:t>
      </w:r>
    </w:p>
    <w:p>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 xml:space="preserve">6.3 </w:t>
      </w:r>
      <w:r>
        <w:rPr>
          <w:rFonts w:hint="eastAsia" w:ascii="Times New Roman" w:hAnsi="Times New Roman" w:eastAsia="仿宋_GB2312" w:cs="Times New Roman"/>
          <w:sz w:val="28"/>
        </w:rPr>
        <w:t>业绩</w:t>
      </w:r>
      <w:r>
        <w:rPr>
          <w:rFonts w:ascii="Times New Roman" w:hAnsi="Times New Roman" w:eastAsia="仿宋_GB2312" w:cs="Times New Roman"/>
          <w:sz w:val="28"/>
        </w:rPr>
        <w:t>证明....................................</w:t>
      </w:r>
      <w:r>
        <w:rPr>
          <w:rFonts w:hint="eastAsia" w:ascii="Times New Roman" w:hAnsi="Times New Roman" w:eastAsia="仿宋_GB2312" w:cs="Times New Roman"/>
          <w:sz w:val="28"/>
        </w:rPr>
        <w:t>............</w:t>
      </w:r>
      <w:r>
        <w:rPr>
          <w:rFonts w:ascii="Times New Roman" w:hAnsi="Times New Roman" w:eastAsia="仿宋_GB2312" w:cs="Times New Roman"/>
          <w:sz w:val="28"/>
        </w:rPr>
        <w:t>.........9</w:t>
      </w:r>
    </w:p>
    <w:p>
      <w:pPr>
        <w:ind w:firstLine="700" w:firstLineChars="250"/>
        <w:rPr>
          <w:rFonts w:ascii="Times New Roman" w:hAnsi="Times New Roman" w:eastAsia="仿宋_GB2312" w:cs="Times New Roman"/>
          <w:sz w:val="28"/>
        </w:rPr>
      </w:pPr>
    </w:p>
    <w:p>
      <w:pPr>
        <w:rPr>
          <w:rFonts w:ascii="Times New Roman" w:hAnsi="Times New Roman" w:eastAsia="仿宋_GB2312" w:cs="Times New Roman"/>
          <w:sz w:val="32"/>
        </w:rPr>
      </w:pPr>
    </w:p>
    <w:p>
      <w:pPr>
        <w:pStyle w:val="22"/>
        <w:ind w:left="360" w:firstLine="0" w:firstLineChars="0"/>
        <w:rPr>
          <w:rFonts w:ascii="Times New Roman" w:hAnsi="Times New Roman" w:eastAsia="仿宋_GB2312"/>
          <w:sz w:val="32"/>
        </w:rPr>
      </w:pPr>
    </w:p>
    <w:p>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pPr>
        <w:pStyle w:val="23"/>
        <w:rPr>
          <w:rFonts w:ascii="Times New Roman" w:hAnsi="Times New Roman" w:eastAsia="华文中宋" w:cs="Times New Roman"/>
          <w:szCs w:val="24"/>
        </w:rPr>
      </w:pPr>
      <w:r>
        <w:rPr>
          <w:rFonts w:ascii="Times New Roman" w:hAnsi="Times New Roman" w:eastAsia="华文中宋" w:cs="Times New Roman"/>
          <w:szCs w:val="24"/>
        </w:rPr>
        <w:t>竞价函</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天津市中海水处理科技有限公司</w:t>
      </w:r>
      <w:r>
        <w:rPr>
          <w:rFonts w:ascii="Times New Roman" w:hAnsi="Times New Roman" w:eastAsia="仿宋_GB2312" w:cs="Times New Roman"/>
          <w:sz w:val="24"/>
          <w:szCs w:val="24"/>
        </w:rPr>
        <w:t>：</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pPr>
        <w:pStyle w:val="10"/>
        <w:spacing w:line="360" w:lineRule="auto"/>
        <w:ind w:firstLine="481"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pPr>
        <w:pStyle w:val="10"/>
        <w:spacing w:line="360" w:lineRule="auto"/>
        <w:ind w:firstLine="240"/>
        <w:rPr>
          <w:rFonts w:ascii="Times New Roman" w:hAnsi="Times New Roman" w:eastAsia="仿宋_GB2312" w:cs="Times New Roman"/>
          <w:sz w:val="24"/>
          <w:szCs w:val="24"/>
        </w:rPr>
      </w:pPr>
    </w:p>
    <w:p>
      <w:pPr>
        <w:pStyle w:val="10"/>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pPr>
        <w:rPr>
          <w:rFonts w:ascii="Times New Roman" w:hAnsi="Times New Roman" w:eastAsia="仿宋_GB2312" w:cs="Times New Roman"/>
          <w:sz w:val="24"/>
          <w:szCs w:val="24"/>
        </w:rPr>
      </w:pPr>
      <w:bookmarkStart w:id="5" w:name="_Toc389141967"/>
      <w:bookmarkStart w:id="6" w:name="_Toc127599610"/>
      <w:bookmarkStart w:id="7" w:name="_Toc96755235"/>
      <w:bookmarkStart w:id="8" w:name="_Toc433984929"/>
      <w:bookmarkStart w:id="9" w:name="_Toc235856998"/>
      <w:bookmarkStart w:id="10" w:name="_Toc85430467"/>
      <w:bookmarkStart w:id="11" w:name="_Toc96755236"/>
      <w:r>
        <w:rPr>
          <w:rFonts w:ascii="Times New Roman" w:hAnsi="Times New Roman" w:eastAsia="仿宋_GB2312" w:cs="Times New Roman"/>
          <w:bCs/>
          <w:sz w:val="24"/>
          <w:szCs w:val="24"/>
        </w:rPr>
        <w:br w:type="page"/>
      </w:r>
    </w:p>
    <w:p>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pPr>
        <w:pStyle w:val="10"/>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pPr>
        <w:pStyle w:val="10"/>
        <w:spacing w:before="163" w:beforeLines="50" w:after="163" w:afterLines="50" w:line="360" w:lineRule="auto"/>
        <w:ind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天津市中海水处理科技有限公司</w:t>
      </w:r>
      <w:r>
        <w:rPr>
          <w:rFonts w:ascii="Times New Roman" w:hAnsi="Times New Roman" w:eastAsia="仿宋_GB2312" w:cs="Times New Roman"/>
          <w:sz w:val="28"/>
          <w:szCs w:val="24"/>
        </w:rPr>
        <w:t>：</w:t>
      </w:r>
    </w:p>
    <w:p>
      <w:pPr>
        <w:pStyle w:val="10"/>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pPr>
        <w:pStyle w:val="10"/>
        <w:spacing w:before="163" w:beforeLines="50" w:after="163" w:afterLines="50" w:line="360" w:lineRule="auto"/>
        <w:ind w:firstLine="480" w:firstLineChars="0"/>
        <w:rPr>
          <w:rFonts w:ascii="Times New Roman" w:hAnsi="Times New Roman" w:eastAsia="仿宋_GB2312" w:cs="Times New Roman"/>
          <w:sz w:val="28"/>
          <w:szCs w:val="24"/>
        </w:rPr>
      </w:pPr>
    </w:p>
    <w:p>
      <w:pPr>
        <w:pStyle w:val="10"/>
        <w:spacing w:before="163" w:beforeLines="50" w:after="163" w:afterLines="50" w:line="360" w:lineRule="auto"/>
        <w:ind w:firstLine="480" w:firstLineChars="0"/>
        <w:rPr>
          <w:rFonts w:ascii="Times New Roman" w:hAnsi="Times New Roman" w:eastAsia="仿宋_GB2312" w:cs="Times New Roman"/>
          <w:sz w:val="28"/>
          <w:szCs w:val="24"/>
        </w:rPr>
      </w:pPr>
    </w:p>
    <w:p>
      <w:pPr>
        <w:pStyle w:val="10"/>
        <w:spacing w:before="163" w:beforeLines="50" w:after="163" w:afterLines="50" w:line="360" w:lineRule="auto"/>
        <w:ind w:firstLine="480" w:firstLineChars="0"/>
        <w:rPr>
          <w:rFonts w:ascii="Times New Roman" w:hAnsi="Times New Roman" w:eastAsia="仿宋_GB2312" w:cs="Times New Roman"/>
          <w:sz w:val="28"/>
          <w:szCs w:val="24"/>
        </w:rPr>
      </w:pPr>
    </w:p>
    <w:p>
      <w:pPr>
        <w:pStyle w:val="10"/>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pPr>
        <w:pStyle w:val="10"/>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pPr>
        <w:pStyle w:val="10"/>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bCs/>
        </w:rPr>
        <w:br w:type="page"/>
      </w:r>
    </w:p>
    <w:p>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548"/>
      <w:bookmarkEnd w:id="14"/>
      <w:bookmarkStart w:id="15" w:name="_Hlt85616740"/>
      <w:bookmarkEnd w:id="15"/>
      <w:bookmarkStart w:id="16" w:name="_Toc433984933"/>
      <w:bookmarkStart w:id="17" w:name="_Toc389141971"/>
    </w:p>
    <w:bookmarkEnd w:id="16"/>
    <w:bookmarkEnd w:id="17"/>
    <w:p>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pPr>
        <w:pStyle w:val="23"/>
        <w:rPr>
          <w:rFonts w:ascii="Times New Roman" w:hAnsi="Times New Roman" w:eastAsia="华文中宋" w:cs="Times New Roman"/>
        </w:rPr>
      </w:pPr>
      <w:bookmarkStart w:id="32" w:name="_GoBack"/>
      <w:bookmarkEnd w:id="32"/>
      <w:r>
        <w:rPr>
          <w:rFonts w:ascii="Times New Roman" w:hAnsi="Times New Roman" w:eastAsia="华文中宋" w:cs="Times New Roman"/>
        </w:rPr>
        <w:t>报价一览表</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798"/>
        <w:gridCol w:w="3196"/>
        <w:gridCol w:w="1462"/>
        <w:gridCol w:w="1585"/>
        <w:gridCol w:w="3458"/>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02"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pPr>
              <w:pStyle w:val="25"/>
              <w:jc w:val="center"/>
              <w:rPr>
                <w:rFonts w:ascii="Times New Roman" w:hAnsi="Times New Roman" w:eastAsia="仿宋_GB2312"/>
                <w:sz w:val="24"/>
                <w:szCs w:val="24"/>
              </w:rPr>
            </w:pPr>
          </w:p>
        </w:tc>
        <w:tc>
          <w:tcPr>
            <w:tcW w:w="27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pPr>
              <w:pStyle w:val="25"/>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2"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运送到甲方指定地点</w:t>
            </w:r>
          </w:p>
        </w:tc>
        <w:tc>
          <w:tcPr>
            <w:tcW w:w="54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合同生效后</w:t>
            </w:r>
            <w:r>
              <w:rPr>
                <w:rFonts w:hint="eastAsia" w:ascii="Times New Roman" w:hAnsi="Times New Roman" w:eastAsia="仿宋_GB2312"/>
                <w:sz w:val="24"/>
                <w:szCs w:val="24"/>
              </w:rPr>
              <w:t>120</w:t>
            </w:r>
            <w:r>
              <w:rPr>
                <w:rFonts w:ascii="Times New Roman" w:hAnsi="Times New Roman" w:eastAsia="仿宋_GB2312"/>
                <w:sz w:val="24"/>
                <w:szCs w:val="24"/>
              </w:rPr>
              <w:t>天内</w:t>
            </w:r>
          </w:p>
        </w:tc>
        <w:tc>
          <w:tcPr>
            <w:tcW w:w="118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合同项下产品的质量保证期为产品安装调试验收合格，并交付使用正常运行后1年（12个月）</w:t>
            </w:r>
          </w:p>
        </w:tc>
        <w:tc>
          <w:tcPr>
            <w:tcW w:w="35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pPr>
        <w:pStyle w:val="22"/>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pPr>
        <w:pStyle w:val="22"/>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pPr>
        <w:pStyle w:val="22"/>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pPr>
        <w:pStyle w:val="10"/>
        <w:ind w:firstLine="240"/>
        <w:rPr>
          <w:rFonts w:ascii="Times New Roman" w:hAnsi="Times New Roman" w:eastAsia="仿宋_GB2312" w:cs="Times New Roman"/>
          <w:sz w:val="24"/>
          <w:szCs w:val="24"/>
        </w:rPr>
      </w:pPr>
    </w:p>
    <w:p>
      <w:pPr>
        <w:pStyle w:val="10"/>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pPr>
        <w:rPr>
          <w:rFonts w:ascii="Times New Roman" w:hAnsi="Times New Roman" w:cs="Times New Roman"/>
        </w:rPr>
      </w:pPr>
      <w:bookmarkStart w:id="18" w:name="_Toc433984930"/>
      <w:bookmarkStart w:id="19" w:name="_Toc389142121"/>
      <w:bookmarkStart w:id="20" w:name="_Toc421719955"/>
      <w:r>
        <w:rPr>
          <w:rFonts w:ascii="Times New Roman" w:hAnsi="Times New Roman" w:cs="Times New Roman"/>
          <w:bCs/>
        </w:rPr>
        <w:br w:type="page"/>
      </w:r>
    </w:p>
    <w:bookmarkEnd w:id="18"/>
    <w:bookmarkEnd w:id="19"/>
    <w:bookmarkEnd w:id="20"/>
    <w:p>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分项报价表</w:t>
      </w:r>
    </w:p>
    <w:p>
      <w:pPr>
        <w:pStyle w:val="23"/>
        <w:spacing w:before="0" w:beforeLines="0"/>
        <w:rPr>
          <w:rFonts w:ascii="Times New Roman" w:hAnsi="Times New Roman" w:eastAsia="华文中宋" w:cs="Times New Roman"/>
        </w:rPr>
      </w:pPr>
      <w:r>
        <w:rPr>
          <w:rFonts w:ascii="Times New Roman" w:hAnsi="Times New Roman" w:eastAsia="华文中宋" w:cs="Times New Roman"/>
        </w:rPr>
        <w:t>分项报价表</w:t>
      </w:r>
    </w:p>
    <w:p>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973"/>
        <w:gridCol w:w="8072"/>
        <w:gridCol w:w="1039"/>
        <w:gridCol w:w="1266"/>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32" w:type="pct"/>
            <w:vAlign w:val="center"/>
          </w:tcPr>
          <w:p>
            <w:pPr>
              <w:pStyle w:val="25"/>
              <w:jc w:val="center"/>
              <w:rPr>
                <w:rFonts w:ascii="Times New Roman" w:hAnsi="Times New Roman" w:eastAsia="仿宋_GB2312"/>
                <w:b/>
                <w:bCs/>
                <w:sz w:val="22"/>
                <w:szCs w:val="22"/>
              </w:rPr>
            </w:pPr>
            <w:bookmarkStart w:id="21" w:name="OLE_LINK1"/>
            <w:r>
              <w:rPr>
                <w:rFonts w:ascii="Times New Roman" w:hAnsi="Times New Roman" w:eastAsia="仿宋_GB2312"/>
                <w:b/>
                <w:bCs/>
                <w:sz w:val="22"/>
                <w:szCs w:val="22"/>
              </w:rPr>
              <w:t>序号</w:t>
            </w:r>
          </w:p>
        </w:tc>
        <w:tc>
          <w:tcPr>
            <w:tcW w:w="681" w:type="pct"/>
            <w:vAlign w:val="center"/>
          </w:tcPr>
          <w:p>
            <w:pPr>
              <w:pStyle w:val="25"/>
              <w:jc w:val="center"/>
              <w:rPr>
                <w:rFonts w:ascii="Times New Roman" w:hAnsi="Times New Roman" w:eastAsia="仿宋_GB2312"/>
                <w:b/>
                <w:bCs/>
                <w:sz w:val="22"/>
                <w:szCs w:val="22"/>
              </w:rPr>
            </w:pPr>
            <w:r>
              <w:rPr>
                <w:rFonts w:hint="eastAsia" w:ascii="Times New Roman" w:hAnsi="Times New Roman" w:eastAsia="仿宋_GB2312"/>
                <w:b/>
                <w:bCs/>
                <w:sz w:val="22"/>
                <w:szCs w:val="22"/>
              </w:rPr>
              <w:t>产品名称</w:t>
            </w:r>
          </w:p>
        </w:tc>
        <w:tc>
          <w:tcPr>
            <w:tcW w:w="2775" w:type="pct"/>
            <w:vAlign w:val="center"/>
          </w:tcPr>
          <w:p>
            <w:pPr>
              <w:pStyle w:val="25"/>
              <w:jc w:val="center"/>
              <w:rPr>
                <w:rFonts w:ascii="Times New Roman" w:hAnsi="Times New Roman" w:eastAsia="仿宋_GB2312"/>
                <w:b/>
                <w:bCs/>
                <w:sz w:val="22"/>
                <w:szCs w:val="22"/>
              </w:rPr>
            </w:pPr>
            <w:r>
              <w:rPr>
                <w:rFonts w:ascii="Times New Roman" w:hAnsi="Times New Roman" w:eastAsia="仿宋_GB2312"/>
                <w:b/>
                <w:bCs/>
                <w:sz w:val="22"/>
                <w:szCs w:val="22"/>
              </w:rPr>
              <w:t>型号和规格</w:t>
            </w:r>
          </w:p>
        </w:tc>
        <w:tc>
          <w:tcPr>
            <w:tcW w:w="340" w:type="pct"/>
            <w:vAlign w:val="center"/>
          </w:tcPr>
          <w:p>
            <w:pPr>
              <w:pStyle w:val="25"/>
              <w:jc w:val="center"/>
              <w:rPr>
                <w:rFonts w:ascii="Times New Roman" w:hAnsi="Times New Roman" w:eastAsia="仿宋_GB2312"/>
                <w:b/>
                <w:bCs/>
                <w:sz w:val="22"/>
                <w:szCs w:val="22"/>
              </w:rPr>
            </w:pPr>
            <w:r>
              <w:rPr>
                <w:rFonts w:ascii="Times New Roman" w:hAnsi="Times New Roman" w:eastAsia="仿宋_GB2312"/>
                <w:b/>
                <w:bCs/>
                <w:sz w:val="22"/>
                <w:szCs w:val="22"/>
              </w:rPr>
              <w:t>数量</w:t>
            </w:r>
          </w:p>
        </w:tc>
        <w:tc>
          <w:tcPr>
            <w:tcW w:w="438" w:type="pct"/>
            <w:vAlign w:val="center"/>
          </w:tcPr>
          <w:p>
            <w:pPr>
              <w:pStyle w:val="25"/>
              <w:jc w:val="center"/>
              <w:rPr>
                <w:rFonts w:ascii="Times New Roman" w:hAnsi="Times New Roman" w:eastAsia="仿宋_GB2312"/>
                <w:b/>
                <w:bCs/>
                <w:sz w:val="22"/>
                <w:szCs w:val="22"/>
              </w:rPr>
            </w:pPr>
            <w:r>
              <w:rPr>
                <w:rFonts w:ascii="Times New Roman" w:hAnsi="Times New Roman" w:eastAsia="仿宋_GB2312"/>
                <w:b/>
                <w:bCs/>
                <w:sz w:val="22"/>
                <w:szCs w:val="22"/>
              </w:rPr>
              <w:t>单价</w:t>
            </w:r>
          </w:p>
        </w:tc>
        <w:tc>
          <w:tcPr>
            <w:tcW w:w="534" w:type="pct"/>
            <w:vAlign w:val="center"/>
          </w:tcPr>
          <w:p>
            <w:pPr>
              <w:pStyle w:val="25"/>
              <w:jc w:val="center"/>
              <w:rPr>
                <w:rFonts w:ascii="Times New Roman" w:hAnsi="Times New Roman" w:eastAsia="仿宋_GB2312"/>
                <w:b/>
                <w:bCs/>
                <w:sz w:val="22"/>
                <w:szCs w:val="22"/>
              </w:rPr>
            </w:pPr>
            <w:r>
              <w:rPr>
                <w:rFonts w:ascii="Times New Roman" w:hAnsi="Times New Roman" w:eastAsia="仿宋_GB2312"/>
                <w:b/>
                <w:bCs/>
                <w:sz w:val="22"/>
                <w:szCs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2" w:type="pct"/>
            <w:vAlign w:val="center"/>
          </w:tcPr>
          <w:p>
            <w:pPr>
              <w:pStyle w:val="25"/>
              <w:jc w:val="center"/>
              <w:rPr>
                <w:rFonts w:ascii="Times New Roman" w:hAnsi="Times New Roman" w:eastAsia="仿宋_GB2312"/>
                <w:sz w:val="22"/>
                <w:szCs w:val="22"/>
              </w:rPr>
            </w:pPr>
            <w:r>
              <w:rPr>
                <w:rFonts w:hint="eastAsia" w:ascii="仿宋" w:hAnsi="仿宋" w:eastAsia="仿宋"/>
                <w:bCs/>
                <w:kern w:val="2"/>
                <w:sz w:val="22"/>
                <w:szCs w:val="22"/>
              </w:rPr>
              <w:t>1</w:t>
            </w:r>
          </w:p>
        </w:tc>
        <w:tc>
          <w:tcPr>
            <w:tcW w:w="681" w:type="pct"/>
            <w:vAlign w:val="center"/>
          </w:tcPr>
          <w:p>
            <w:pPr>
              <w:pStyle w:val="25"/>
              <w:jc w:val="center"/>
              <w:rPr>
                <w:rFonts w:ascii="Times New Roman" w:hAnsi="Times New Roman" w:eastAsia="仿宋_GB2312"/>
                <w:color w:val="000000"/>
                <w:sz w:val="22"/>
                <w:szCs w:val="22"/>
              </w:rPr>
            </w:pPr>
            <w:r>
              <w:rPr>
                <w:rFonts w:hint="eastAsia" w:ascii="仿宋" w:hAnsi="仿宋" w:eastAsia="仿宋"/>
                <w:bCs/>
                <w:kern w:val="2"/>
                <w:sz w:val="22"/>
                <w:szCs w:val="22"/>
              </w:rPr>
              <w:t>2-膦酸丁烷-1,2,4-三羧酸</w:t>
            </w:r>
          </w:p>
        </w:tc>
        <w:tc>
          <w:tcPr>
            <w:tcW w:w="2775" w:type="pct"/>
            <w:vAlign w:val="center"/>
          </w:tcPr>
          <w:p>
            <w:pPr>
              <w:adjustRightInd/>
              <w:snapToGrid/>
              <w:spacing w:after="0"/>
              <w:rPr>
                <w:rFonts w:hint="eastAsia" w:ascii="仿宋" w:hAnsi="仿宋" w:eastAsia="仿宋" w:cs="Times New Roman"/>
                <w:bCs/>
                <w:kern w:val="2"/>
              </w:rPr>
            </w:pPr>
            <w:r>
              <w:rPr>
                <w:rFonts w:hint="eastAsia" w:ascii="仿宋" w:hAnsi="仿宋" w:eastAsia="仿宋" w:cs="Times New Roman"/>
                <w:bCs/>
                <w:kern w:val="2"/>
              </w:rPr>
              <w:t xml:space="preserve">CAS：37971-36-1                       </w:t>
            </w:r>
            <w:r>
              <w:rPr>
                <w:rFonts w:ascii="仿宋" w:hAnsi="仿宋" w:eastAsia="仿宋" w:cs="Times New Roman"/>
                <w:bCs/>
                <w:kern w:val="2"/>
              </w:rPr>
              <w:t>颜色外观：无色至淡黄色透明液体</w:t>
            </w:r>
          </w:p>
          <w:p>
            <w:pPr>
              <w:adjustRightInd/>
              <w:snapToGrid/>
              <w:spacing w:after="0"/>
              <w:rPr>
                <w:rFonts w:hint="eastAsia" w:ascii="仿宋" w:hAnsi="仿宋" w:eastAsia="仿宋" w:cs="Times New Roman"/>
              </w:rPr>
            </w:pPr>
            <w:r>
              <w:rPr>
                <w:rFonts w:ascii="仿宋" w:hAnsi="仿宋" w:eastAsia="仿宋" w:cs="Times New Roman"/>
              </w:rPr>
              <w:t>密度，g/mL：≥1.27</w:t>
            </w:r>
            <w:r>
              <w:rPr>
                <w:rFonts w:hint="eastAsia" w:ascii="仿宋" w:hAnsi="仿宋" w:eastAsia="仿宋" w:cs="Times New Roman"/>
              </w:rPr>
              <w:t xml:space="preserve">                    </w:t>
            </w:r>
            <w:r>
              <w:rPr>
                <w:rFonts w:ascii="仿宋" w:hAnsi="仿宋" w:eastAsia="仿宋" w:cs="Times New Roman"/>
              </w:rPr>
              <w:t>pH（1%水溶液，20℃）：1.5～2.0</w:t>
            </w:r>
          </w:p>
          <w:p>
            <w:pPr>
              <w:adjustRightInd/>
              <w:snapToGrid/>
              <w:spacing w:after="0"/>
              <w:rPr>
                <w:rFonts w:hint="eastAsia" w:ascii="仿宋" w:hAnsi="仿宋" w:eastAsia="仿宋" w:cs="Times New Roman"/>
                <w:bCs/>
                <w:kern w:val="2"/>
              </w:rPr>
            </w:pPr>
            <w:r>
              <w:rPr>
                <w:rFonts w:ascii="仿宋" w:hAnsi="仿宋" w:eastAsia="仿宋" w:cs="Times New Roman"/>
                <w:bCs/>
                <w:kern w:val="2"/>
              </w:rPr>
              <w:t>活性组份(以PBTCA计) ，% ：≥</w:t>
            </w:r>
            <w:r>
              <w:rPr>
                <w:rFonts w:hint="eastAsia" w:ascii="仿宋" w:hAnsi="仿宋" w:eastAsia="仿宋" w:cs="Times New Roman"/>
                <w:bCs/>
                <w:kern w:val="2"/>
              </w:rPr>
              <w:t>6</w:t>
            </w:r>
            <w:r>
              <w:rPr>
                <w:rFonts w:ascii="仿宋" w:hAnsi="仿宋" w:eastAsia="仿宋" w:cs="Times New Roman"/>
                <w:bCs/>
                <w:kern w:val="2"/>
              </w:rPr>
              <w:t>0</w:t>
            </w:r>
            <w:r>
              <w:rPr>
                <w:rFonts w:hint="eastAsia" w:ascii="仿宋" w:hAnsi="仿宋" w:eastAsia="仿宋" w:cs="Times New Roman"/>
                <w:bCs/>
                <w:kern w:val="2"/>
              </w:rPr>
              <w:t xml:space="preserve">       </w:t>
            </w:r>
            <w:r>
              <w:rPr>
                <w:rFonts w:ascii="仿宋" w:hAnsi="仿宋" w:eastAsia="仿宋" w:cs="Times New Roman"/>
                <w:bCs/>
                <w:kern w:val="2"/>
              </w:rPr>
              <w:t>亚磷酸(以PO</w:t>
            </w:r>
            <w:r>
              <w:rPr>
                <w:rFonts w:ascii="仿宋" w:hAnsi="仿宋" w:eastAsia="仿宋" w:cs="Times New Roman"/>
                <w:bCs/>
                <w:kern w:val="2"/>
                <w:vertAlign w:val="subscript"/>
              </w:rPr>
              <w:t>3</w:t>
            </w:r>
            <w:r>
              <w:rPr>
                <w:rFonts w:ascii="仿宋" w:hAnsi="仿宋" w:eastAsia="仿宋" w:cs="Times New Roman"/>
                <w:bCs/>
                <w:kern w:val="2"/>
                <w:vertAlign w:val="superscript"/>
              </w:rPr>
              <w:t>3-</w:t>
            </w:r>
            <w:r>
              <w:rPr>
                <w:rFonts w:ascii="仿宋" w:hAnsi="仿宋" w:eastAsia="仿宋" w:cs="Times New Roman"/>
                <w:bCs/>
                <w:kern w:val="2"/>
              </w:rPr>
              <w:t>计) ，%：≤0.5</w:t>
            </w:r>
          </w:p>
          <w:p>
            <w:pPr>
              <w:adjustRightInd/>
              <w:snapToGrid/>
              <w:spacing w:after="0"/>
              <w:rPr>
                <w:rFonts w:hint="eastAsia" w:ascii="仿宋" w:hAnsi="仿宋" w:eastAsia="仿宋" w:cs="Times New Roman"/>
                <w:bCs/>
                <w:kern w:val="2"/>
              </w:rPr>
            </w:pPr>
            <w:r>
              <w:rPr>
                <w:rFonts w:ascii="仿宋" w:hAnsi="仿宋" w:eastAsia="仿宋" w:cs="Times New Roman"/>
                <w:bCs/>
                <w:kern w:val="2"/>
              </w:rPr>
              <w:t>Fe(以Fe</w:t>
            </w:r>
            <w:r>
              <w:rPr>
                <w:rFonts w:ascii="仿宋" w:hAnsi="仿宋" w:eastAsia="仿宋" w:cs="Times New Roman"/>
                <w:bCs/>
                <w:kern w:val="2"/>
                <w:vertAlign w:val="superscript"/>
              </w:rPr>
              <w:t>2+</w:t>
            </w:r>
            <w:r>
              <w:rPr>
                <w:rFonts w:ascii="仿宋" w:hAnsi="仿宋" w:eastAsia="仿宋" w:cs="Times New Roman"/>
                <w:bCs/>
                <w:kern w:val="2"/>
              </w:rPr>
              <w:t>计)含量，mg/L：≤</w:t>
            </w:r>
            <w:r>
              <w:rPr>
                <w:rFonts w:hint="eastAsia" w:ascii="仿宋" w:hAnsi="仿宋" w:eastAsia="仿宋" w:cs="Times New Roman"/>
                <w:bCs/>
                <w:kern w:val="2"/>
              </w:rPr>
              <w:t>5</w:t>
            </w:r>
            <w:r>
              <w:rPr>
                <w:rFonts w:ascii="仿宋" w:hAnsi="仿宋" w:eastAsia="仿宋" w:cs="Times New Roman"/>
                <w:bCs/>
                <w:kern w:val="2"/>
              </w:rPr>
              <w:t>.0</w:t>
            </w:r>
            <w:r>
              <w:rPr>
                <w:rFonts w:hint="eastAsia" w:ascii="仿宋" w:hAnsi="仿宋" w:eastAsia="仿宋" w:cs="Times New Roman"/>
                <w:bCs/>
                <w:kern w:val="2"/>
              </w:rPr>
              <w:t xml:space="preserve">          </w:t>
            </w:r>
            <w:r>
              <w:rPr>
                <w:rFonts w:ascii="仿宋" w:hAnsi="仿宋" w:eastAsia="仿宋" w:cs="Times New Roman"/>
                <w:bCs/>
                <w:kern w:val="2"/>
              </w:rPr>
              <w:t>氯化物（以Cl-计）含量，mg/L：≤1.0</w:t>
            </w:r>
          </w:p>
          <w:p>
            <w:pPr>
              <w:spacing w:after="0"/>
              <w:rPr>
                <w:rFonts w:ascii="Times New Roman" w:hAnsi="Times New Roman" w:eastAsia="仿宋_GB2312"/>
              </w:rPr>
            </w:pPr>
            <w:r>
              <w:rPr>
                <w:rFonts w:hint="eastAsia" w:ascii="仿宋" w:hAnsi="仿宋" w:eastAsia="仿宋" w:cs="Times New Roman"/>
              </w:rPr>
              <w:t>红外谱图：与数据库内标准样品的红外谱图相似度大于95%</w:t>
            </w:r>
          </w:p>
        </w:tc>
        <w:tc>
          <w:tcPr>
            <w:tcW w:w="340" w:type="pct"/>
            <w:vAlign w:val="center"/>
          </w:tcPr>
          <w:p>
            <w:pPr>
              <w:pStyle w:val="25"/>
              <w:jc w:val="center"/>
              <w:rPr>
                <w:rFonts w:ascii="Times New Roman" w:hAnsi="Times New Roman" w:eastAsia="仿宋_GB2312"/>
                <w:sz w:val="22"/>
                <w:szCs w:val="22"/>
              </w:rPr>
            </w:pPr>
            <w:r>
              <w:rPr>
                <w:rFonts w:hint="eastAsia" w:ascii="Times New Roman" w:hAnsi="Times New Roman" w:eastAsia="仿宋_GB2312"/>
                <w:sz w:val="22"/>
                <w:szCs w:val="22"/>
              </w:rPr>
              <w:t>56100L</w:t>
            </w:r>
          </w:p>
        </w:tc>
        <w:tc>
          <w:tcPr>
            <w:tcW w:w="438" w:type="pct"/>
            <w:vAlign w:val="center"/>
          </w:tcPr>
          <w:p>
            <w:pPr>
              <w:pStyle w:val="25"/>
              <w:jc w:val="center"/>
              <w:rPr>
                <w:rFonts w:ascii="Times New Roman" w:hAnsi="Times New Roman" w:eastAsia="仿宋_GB2312"/>
                <w:sz w:val="22"/>
                <w:szCs w:val="22"/>
              </w:rPr>
            </w:pPr>
          </w:p>
        </w:tc>
        <w:tc>
          <w:tcPr>
            <w:tcW w:w="534" w:type="pct"/>
            <w:vAlign w:val="center"/>
          </w:tcPr>
          <w:p>
            <w:pPr>
              <w:pStyle w:val="25"/>
              <w:jc w:val="center"/>
              <w:rPr>
                <w:rFonts w:ascii="Times New Roman" w:hAnsi="Times New Roman"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2" w:type="pct"/>
            <w:vAlign w:val="center"/>
          </w:tcPr>
          <w:p>
            <w:pPr>
              <w:pStyle w:val="25"/>
              <w:jc w:val="center"/>
              <w:rPr>
                <w:rFonts w:hint="eastAsia" w:ascii="仿宋" w:hAnsi="仿宋" w:eastAsia="仿宋"/>
                <w:bCs/>
                <w:sz w:val="22"/>
                <w:szCs w:val="22"/>
              </w:rPr>
            </w:pPr>
            <w:r>
              <w:rPr>
                <w:rFonts w:hint="eastAsia" w:ascii="仿宋" w:hAnsi="仿宋" w:eastAsia="仿宋"/>
                <w:bCs/>
                <w:kern w:val="2"/>
                <w:sz w:val="22"/>
                <w:szCs w:val="22"/>
              </w:rPr>
              <w:t>2</w:t>
            </w:r>
          </w:p>
        </w:tc>
        <w:tc>
          <w:tcPr>
            <w:tcW w:w="681" w:type="pct"/>
            <w:vAlign w:val="center"/>
          </w:tcPr>
          <w:p>
            <w:pPr>
              <w:pStyle w:val="25"/>
              <w:jc w:val="center"/>
              <w:rPr>
                <w:rFonts w:hint="eastAsia" w:ascii="仿宋" w:hAnsi="仿宋" w:eastAsia="仿宋"/>
                <w:bCs/>
                <w:kern w:val="2"/>
                <w:sz w:val="22"/>
                <w:szCs w:val="22"/>
              </w:rPr>
            </w:pPr>
            <w:r>
              <w:rPr>
                <w:rFonts w:hint="eastAsia" w:ascii="仿宋" w:hAnsi="仿宋" w:eastAsia="仿宋"/>
                <w:bCs/>
                <w:kern w:val="2"/>
                <w:sz w:val="22"/>
                <w:szCs w:val="22"/>
              </w:rPr>
              <w:t>双-1,6-亚己基三胺五亚甲基膦酸</w:t>
            </w:r>
          </w:p>
        </w:tc>
        <w:tc>
          <w:tcPr>
            <w:tcW w:w="2775" w:type="pct"/>
            <w:vAlign w:val="center"/>
          </w:tcPr>
          <w:p>
            <w:pPr>
              <w:adjustRightInd/>
              <w:snapToGrid/>
              <w:spacing w:after="0"/>
              <w:rPr>
                <w:rFonts w:hint="eastAsia" w:ascii="仿宋" w:hAnsi="仿宋" w:eastAsia="仿宋" w:cs="Times New Roman"/>
                <w:bCs/>
                <w:kern w:val="2"/>
              </w:rPr>
            </w:pPr>
            <w:r>
              <w:rPr>
                <w:rFonts w:hint="eastAsia" w:ascii="仿宋" w:hAnsi="仿宋" w:eastAsia="仿宋" w:cs="Times New Roman"/>
                <w:bCs/>
                <w:kern w:val="2"/>
              </w:rPr>
              <w:t xml:space="preserve">CAS：34690-00-1                       </w:t>
            </w:r>
            <w:r>
              <w:rPr>
                <w:rFonts w:ascii="仿宋" w:hAnsi="仿宋" w:eastAsia="仿宋" w:cs="Times New Roman"/>
                <w:bCs/>
                <w:kern w:val="2"/>
              </w:rPr>
              <w:t>颜色外观：深琥珀色液体</w:t>
            </w:r>
          </w:p>
          <w:p>
            <w:pPr>
              <w:adjustRightInd/>
              <w:snapToGrid/>
              <w:spacing w:after="0"/>
              <w:rPr>
                <w:rFonts w:hint="eastAsia" w:ascii="仿宋" w:hAnsi="仿宋" w:eastAsia="仿宋" w:cs="Times New Roman"/>
              </w:rPr>
            </w:pPr>
            <w:r>
              <w:rPr>
                <w:rFonts w:ascii="仿宋" w:hAnsi="仿宋" w:eastAsia="仿宋" w:cs="Times New Roman"/>
              </w:rPr>
              <w:t>密度，g/mL：≥1.20</w:t>
            </w:r>
            <w:r>
              <w:rPr>
                <w:rFonts w:hint="eastAsia" w:ascii="仿宋" w:hAnsi="仿宋" w:eastAsia="仿宋" w:cs="Times New Roman"/>
              </w:rPr>
              <w:t xml:space="preserve">                    </w:t>
            </w:r>
            <w:r>
              <w:rPr>
                <w:rFonts w:ascii="仿宋" w:hAnsi="仿宋" w:eastAsia="仿宋" w:cs="Times New Roman"/>
              </w:rPr>
              <w:t>pH（1%水溶液，20℃）：≤2.0</w:t>
            </w:r>
          </w:p>
          <w:p>
            <w:pPr>
              <w:adjustRightInd/>
              <w:snapToGrid/>
              <w:spacing w:after="0"/>
              <w:rPr>
                <w:rFonts w:hint="eastAsia" w:ascii="仿宋" w:hAnsi="仿宋" w:eastAsia="仿宋" w:cs="Times New Roman"/>
                <w:bCs/>
                <w:kern w:val="2"/>
              </w:rPr>
            </w:pPr>
            <w:r>
              <w:rPr>
                <w:rFonts w:ascii="仿宋" w:hAnsi="仿宋" w:eastAsia="仿宋" w:cs="Times New Roman"/>
                <w:bCs/>
                <w:kern w:val="2"/>
              </w:rPr>
              <w:t>活性组份(以BHMTPMPA计) ，% ：</w:t>
            </w:r>
            <w:r>
              <w:rPr>
                <w:rFonts w:ascii="仿宋" w:hAnsi="仿宋" w:eastAsia="仿宋" w:cs="Times New Roman"/>
              </w:rPr>
              <w:t>≥</w:t>
            </w:r>
            <w:r>
              <w:rPr>
                <w:rFonts w:hint="eastAsia" w:ascii="仿宋" w:hAnsi="仿宋" w:eastAsia="仿宋" w:cs="Times New Roman"/>
              </w:rPr>
              <w:t xml:space="preserve">50    </w:t>
            </w:r>
            <w:r>
              <w:rPr>
                <w:rFonts w:ascii="仿宋" w:hAnsi="仿宋" w:eastAsia="仿宋" w:cs="Times New Roman"/>
                <w:bCs/>
                <w:kern w:val="2"/>
              </w:rPr>
              <w:t>Fe(以Fe</w:t>
            </w:r>
            <w:r>
              <w:rPr>
                <w:rFonts w:ascii="仿宋" w:hAnsi="仿宋" w:eastAsia="仿宋" w:cs="Times New Roman"/>
                <w:bCs/>
                <w:kern w:val="2"/>
                <w:vertAlign w:val="superscript"/>
              </w:rPr>
              <w:t>2+</w:t>
            </w:r>
            <w:r>
              <w:rPr>
                <w:rFonts w:ascii="仿宋" w:hAnsi="仿宋" w:eastAsia="仿宋" w:cs="Times New Roman"/>
                <w:bCs/>
                <w:kern w:val="2"/>
              </w:rPr>
              <w:t>计)含量，mg/L：≤</w:t>
            </w:r>
            <w:r>
              <w:rPr>
                <w:rFonts w:hint="eastAsia" w:ascii="仿宋" w:hAnsi="仿宋" w:eastAsia="仿宋" w:cs="Times New Roman"/>
                <w:bCs/>
                <w:kern w:val="2"/>
              </w:rPr>
              <w:t>60</w:t>
            </w:r>
            <w:r>
              <w:rPr>
                <w:rFonts w:ascii="仿宋" w:hAnsi="仿宋" w:eastAsia="仿宋" w:cs="Times New Roman"/>
                <w:bCs/>
                <w:kern w:val="2"/>
              </w:rPr>
              <w:t>.0</w:t>
            </w:r>
          </w:p>
          <w:p>
            <w:pPr>
              <w:adjustRightInd/>
              <w:snapToGrid/>
              <w:spacing w:after="0"/>
              <w:rPr>
                <w:rFonts w:hint="eastAsia" w:ascii="仿宋" w:hAnsi="仿宋" w:eastAsia="仿宋" w:cs="Times New Roman"/>
                <w:bCs/>
                <w:kern w:val="2"/>
              </w:rPr>
            </w:pPr>
            <w:r>
              <w:rPr>
                <w:rFonts w:ascii="仿宋" w:hAnsi="仿宋" w:eastAsia="仿宋" w:cs="Times New Roman"/>
                <w:bCs/>
                <w:kern w:val="2"/>
              </w:rPr>
              <w:t>氯化物（以Cl</w:t>
            </w:r>
            <w:r>
              <w:rPr>
                <w:rFonts w:ascii="仿宋" w:hAnsi="仿宋" w:eastAsia="仿宋" w:cs="Times New Roman"/>
                <w:bCs/>
                <w:kern w:val="2"/>
                <w:vertAlign w:val="superscript"/>
              </w:rPr>
              <w:t>-</w:t>
            </w:r>
            <w:r>
              <w:rPr>
                <w:rFonts w:ascii="仿宋" w:hAnsi="仿宋" w:eastAsia="仿宋" w:cs="Times New Roman"/>
                <w:bCs/>
                <w:kern w:val="2"/>
              </w:rPr>
              <w:t>计）含量，mg/L：≤</w:t>
            </w:r>
            <w:r>
              <w:rPr>
                <w:rFonts w:hint="eastAsia" w:ascii="仿宋" w:hAnsi="仿宋" w:eastAsia="仿宋" w:cs="Times New Roman"/>
                <w:bCs/>
                <w:kern w:val="2"/>
              </w:rPr>
              <w:t>2</w:t>
            </w:r>
            <w:r>
              <w:rPr>
                <w:rFonts w:ascii="仿宋" w:hAnsi="仿宋" w:eastAsia="仿宋" w:cs="Times New Roman"/>
                <w:bCs/>
                <w:kern w:val="2"/>
              </w:rPr>
              <w:t>.0</w:t>
            </w:r>
          </w:p>
          <w:p>
            <w:pPr>
              <w:spacing w:after="0"/>
              <w:rPr>
                <w:rFonts w:hint="eastAsia" w:ascii="仿宋" w:hAnsi="仿宋" w:eastAsia="仿宋" w:cs="Times New Roman"/>
              </w:rPr>
            </w:pPr>
            <w:r>
              <w:rPr>
                <w:rFonts w:hint="eastAsia" w:ascii="仿宋" w:hAnsi="仿宋" w:eastAsia="仿宋" w:cs="Times New Roman"/>
                <w:bCs/>
                <w:kern w:val="2"/>
              </w:rPr>
              <w:t>红外谱图：与数据库内标准样品的红外谱图相似度大于95%</w:t>
            </w:r>
          </w:p>
        </w:tc>
        <w:tc>
          <w:tcPr>
            <w:tcW w:w="340" w:type="pct"/>
            <w:vAlign w:val="center"/>
          </w:tcPr>
          <w:p>
            <w:pPr>
              <w:pStyle w:val="25"/>
              <w:jc w:val="center"/>
              <w:rPr>
                <w:rFonts w:ascii="Times New Roman" w:hAnsi="Times New Roman" w:eastAsia="仿宋_GB2312"/>
                <w:sz w:val="22"/>
                <w:szCs w:val="22"/>
              </w:rPr>
            </w:pPr>
            <w:r>
              <w:rPr>
                <w:rFonts w:hint="eastAsia" w:ascii="Times New Roman" w:hAnsi="Times New Roman" w:eastAsia="仿宋_GB2312"/>
                <w:sz w:val="22"/>
                <w:szCs w:val="22"/>
              </w:rPr>
              <w:t>9570L</w:t>
            </w:r>
          </w:p>
        </w:tc>
        <w:tc>
          <w:tcPr>
            <w:tcW w:w="438" w:type="pct"/>
            <w:vAlign w:val="center"/>
          </w:tcPr>
          <w:p>
            <w:pPr>
              <w:pStyle w:val="25"/>
              <w:jc w:val="center"/>
              <w:rPr>
                <w:rFonts w:ascii="Times New Roman" w:hAnsi="Times New Roman" w:eastAsia="仿宋_GB2312"/>
                <w:sz w:val="22"/>
                <w:szCs w:val="22"/>
              </w:rPr>
            </w:pPr>
          </w:p>
        </w:tc>
        <w:tc>
          <w:tcPr>
            <w:tcW w:w="534" w:type="pct"/>
            <w:vAlign w:val="center"/>
          </w:tcPr>
          <w:p>
            <w:pPr>
              <w:pStyle w:val="25"/>
              <w:jc w:val="center"/>
              <w:rPr>
                <w:rFonts w:ascii="Times New Roman" w:hAnsi="Times New Roman" w:eastAsia="仿宋_GB2312"/>
                <w:sz w:val="22"/>
                <w:szCs w:val="22"/>
              </w:rPr>
            </w:pPr>
          </w:p>
        </w:tc>
      </w:tr>
      <w:bookmarkEnd w:id="21"/>
    </w:tbl>
    <w:p>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pPr>
        <w:pStyle w:val="22"/>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pPr>
        <w:pStyle w:val="22"/>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pPr>
        <w:pStyle w:val="22"/>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pPr>
        <w:pStyle w:val="4"/>
        <w:numPr>
          <w:ilvl w:val="0"/>
          <w:numId w:val="3"/>
        </w:numPr>
        <w:rPr>
          <w:rFonts w:ascii="Times New Roman" w:hAnsi="Times New Roman" w:eastAsia="黑体" w:cs="Times New Roman"/>
          <w:b w:val="0"/>
        </w:rPr>
      </w:pPr>
      <w:bookmarkStart w:id="22" w:name="_Toc433984938"/>
      <w:bookmarkStart w:id="23" w:name="_Toc421719963"/>
      <w:bookmarkStart w:id="24" w:name="_Toc235857007"/>
      <w:r>
        <w:rPr>
          <w:rFonts w:ascii="Times New Roman" w:hAnsi="Times New Roman" w:eastAsia="黑体" w:cs="Times New Roman"/>
          <w:b w:val="0"/>
        </w:rPr>
        <w:t>资格证明文件</w:t>
      </w:r>
      <w:bookmarkEnd w:id="22"/>
      <w:bookmarkEnd w:id="23"/>
    </w:p>
    <w:p>
      <w:pPr>
        <w:pStyle w:val="5"/>
        <w:numPr>
          <w:ilvl w:val="1"/>
          <w:numId w:val="3"/>
        </w:numPr>
        <w:rPr>
          <w:rFonts w:ascii="Times New Roman" w:hAnsi="Times New Roman" w:cs="Times New Roman" w:eastAsiaTheme="minorEastAsia"/>
          <w:sz w:val="24"/>
          <w:szCs w:val="24"/>
        </w:rPr>
      </w:pPr>
      <w:bookmarkStart w:id="25" w:name="_Toc286174100"/>
      <w:bookmarkStart w:id="26" w:name="_Toc389141975"/>
      <w:bookmarkStart w:id="27" w:name="_Toc362613989"/>
      <w:bookmarkStart w:id="28" w:name="_Toc433984937"/>
      <w:bookmarkStart w:id="29" w:name="_Toc235857003"/>
      <w:bookmarkStart w:id="30" w:name="_Toc83547695"/>
      <w:bookmarkStart w:id="31" w:name="_Toc85430473"/>
      <w:r>
        <w:rPr>
          <w:rFonts w:ascii="Times New Roman" w:hAnsi="Times New Roman" w:cs="Times New Roman" w:eastAsiaTheme="minorEastAsia"/>
          <w:sz w:val="24"/>
          <w:szCs w:val="24"/>
        </w:rPr>
        <w:t>供应商情况表</w:t>
      </w:r>
      <w:bookmarkEnd w:id="25"/>
      <w:bookmarkEnd w:id="26"/>
      <w:bookmarkEnd w:id="27"/>
      <w:bookmarkEnd w:id="28"/>
    </w:p>
    <w:p>
      <w:pPr>
        <w:pStyle w:val="23"/>
        <w:spacing w:before="156" w:after="156"/>
        <w:rPr>
          <w:rFonts w:ascii="Times New Roman" w:hAnsi="Times New Roman" w:eastAsia="华文中宋" w:cs="Times New Roman"/>
        </w:rPr>
      </w:pPr>
      <w:r>
        <w:rPr>
          <w:rFonts w:ascii="Times New Roman" w:hAnsi="Times New Roman" w:eastAsia="华文中宋" w:cs="Times New Roman"/>
        </w:rPr>
        <w:t>供应商情况表</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pPr>
              <w:pStyle w:val="25"/>
              <w:jc w:val="center"/>
              <w:rPr>
                <w:rFonts w:ascii="Times New Roman" w:hAnsi="Times New Roman" w:eastAsia="仿宋_GB2312"/>
                <w:sz w:val="24"/>
                <w:szCs w:val="24"/>
              </w:rPr>
            </w:pPr>
          </w:p>
        </w:tc>
        <w:tc>
          <w:tcPr>
            <w:tcW w:w="90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法定代表人</w:t>
            </w:r>
          </w:p>
          <w:p>
            <w:pPr>
              <w:pStyle w:val="25"/>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负债总额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pPr>
              <w:pStyle w:val="25"/>
              <w:jc w:val="center"/>
              <w:rPr>
                <w:rFonts w:ascii="Times New Roman" w:hAnsi="Times New Roman" w:eastAsia="仿宋_GB2312"/>
                <w:sz w:val="24"/>
                <w:szCs w:val="24"/>
              </w:rPr>
            </w:pPr>
          </w:p>
        </w:tc>
        <w:tc>
          <w:tcPr>
            <w:tcW w:w="72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202</w:t>
            </w:r>
            <w:r>
              <w:rPr>
                <w:rFonts w:hint="eastAsia" w:ascii="Times New Roman" w:hAnsi="Times New Roman" w:eastAsia="仿宋_GB2312"/>
                <w:sz w:val="24"/>
                <w:szCs w:val="24"/>
              </w:rPr>
              <w:t>5</w:t>
            </w:r>
          </w:p>
        </w:tc>
        <w:tc>
          <w:tcPr>
            <w:tcW w:w="724" w:type="pct"/>
            <w:gridSpan w:val="2"/>
            <w:vAlign w:val="center"/>
          </w:tcPr>
          <w:p>
            <w:pPr>
              <w:pStyle w:val="25"/>
              <w:jc w:val="center"/>
              <w:rPr>
                <w:rFonts w:ascii="Times New Roman" w:hAnsi="Times New Roman" w:eastAsia="仿宋_GB2312"/>
                <w:sz w:val="24"/>
                <w:szCs w:val="24"/>
              </w:rPr>
            </w:pPr>
          </w:p>
        </w:tc>
        <w:tc>
          <w:tcPr>
            <w:tcW w:w="725" w:type="pct"/>
            <w:gridSpan w:val="2"/>
            <w:vAlign w:val="center"/>
          </w:tcPr>
          <w:p>
            <w:pPr>
              <w:pStyle w:val="25"/>
              <w:jc w:val="center"/>
              <w:rPr>
                <w:rFonts w:ascii="Times New Roman" w:hAnsi="Times New Roman" w:eastAsia="仿宋_GB2312"/>
                <w:sz w:val="24"/>
                <w:szCs w:val="24"/>
              </w:rPr>
            </w:pPr>
          </w:p>
        </w:tc>
        <w:tc>
          <w:tcPr>
            <w:tcW w:w="724" w:type="pct"/>
            <w:gridSpan w:val="2"/>
            <w:vAlign w:val="center"/>
          </w:tcPr>
          <w:p>
            <w:pPr>
              <w:pStyle w:val="25"/>
              <w:jc w:val="center"/>
              <w:rPr>
                <w:rFonts w:ascii="Times New Roman" w:hAnsi="Times New Roman" w:eastAsia="仿宋_GB2312"/>
                <w:sz w:val="24"/>
                <w:szCs w:val="24"/>
              </w:rPr>
            </w:pPr>
          </w:p>
        </w:tc>
        <w:tc>
          <w:tcPr>
            <w:tcW w:w="725" w:type="pct"/>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pPr>
              <w:pStyle w:val="25"/>
              <w:jc w:val="center"/>
              <w:rPr>
                <w:rFonts w:ascii="Times New Roman" w:hAnsi="Times New Roman" w:eastAsia="仿宋_GB2312"/>
                <w:sz w:val="24"/>
                <w:szCs w:val="24"/>
              </w:rPr>
            </w:pPr>
          </w:p>
        </w:tc>
      </w:tr>
    </w:tbl>
    <w:p>
      <w:pPr>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bookmarkEnd w:id="29"/>
    <w:bookmarkEnd w:id="30"/>
    <w:bookmarkEnd w:id="31"/>
    <w:p>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4"/>
    <w:p>
      <w:pPr>
        <w:pStyle w:val="5"/>
        <w:numPr>
          <w:ilvl w:val="1"/>
          <w:numId w:val="3"/>
        </w:numP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业绩</w:t>
      </w:r>
      <w:r>
        <w:rPr>
          <w:rFonts w:ascii="Times New Roman" w:hAnsi="Times New Roman" w:cs="Times New Roman" w:eastAsiaTheme="minorEastAsia"/>
          <w:sz w:val="24"/>
          <w:szCs w:val="24"/>
        </w:rPr>
        <w:t>证明</w:t>
      </w:r>
    </w:p>
    <w:p>
      <w:pPr>
        <w:ind w:firstLine="480" w:firstLineChars="200"/>
      </w:pPr>
      <w:r>
        <w:rPr>
          <w:rFonts w:ascii="Times New Roman" w:hAnsi="Times New Roman" w:eastAsia="仿宋_GB2312" w:cs="Times New Roman"/>
          <w:sz w:val="24"/>
          <w:szCs w:val="24"/>
        </w:rPr>
        <w:t>竞价企业</w:t>
      </w:r>
      <w:r>
        <w:rPr>
          <w:rFonts w:hint="eastAsia" w:ascii="Times New Roman" w:hAnsi="Times New Roman" w:eastAsia="仿宋_GB2312" w:cs="Times New Roman"/>
          <w:sz w:val="24"/>
          <w:szCs w:val="24"/>
        </w:rPr>
        <w:t>需提供自2025年1月1日至竞价文件递交截止时间止，至少1个化工产品业绩，且业绩总金额不少于70万元。业绩内容需提供双方盖章的业绩合同和对应的业绩发票，合同和发票内容不得遮挡产品名称和合同总金额</w:t>
      </w:r>
      <w:r>
        <w:rPr>
          <w:rFonts w:ascii="Times New Roman" w:hAnsi="Times New Roman" w:eastAsia="仿宋_GB2312" w:cs="Times New Roman"/>
          <w:sz w:val="24"/>
          <w:szCs w:val="24"/>
        </w:rPr>
        <w:t>。</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Tahoma">
    <w:altName w:val="DejaVu Sans"/>
    <w:panose1 w:val="020B0604030504040204"/>
    <w:charset w:val="00"/>
    <w:family w:val="swiss"/>
    <w:pitch w:val="default"/>
    <w:sig w:usb0="00000000" w:usb1="00000000" w:usb2="00000029" w:usb3="00000000" w:csb0="000101FF" w:csb1="00000000"/>
  </w:font>
  <w:font w:name="微软雅黑">
    <w:altName w:val="Droid Sans Fallback"/>
    <w:panose1 w:val="020B0503020204020204"/>
    <w:charset w:val="86"/>
    <w:family w:val="swiss"/>
    <w:pitch w:val="default"/>
    <w:sig w:usb0="00000000" w:usb1="00000000" w:usb2="00000016" w:usb3="00000000" w:csb0="0004001F" w:csb1="00000000"/>
  </w:font>
  <w:font w:name="Arial">
    <w:altName w:val="DejaVu Sans"/>
    <w:panose1 w:val="020B0604020202020204"/>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altName w:val="Droid Sans Fallback"/>
    <w:panose1 w:val="00000000000000000000"/>
    <w:charset w:val="86"/>
    <w:family w:val="modern"/>
    <w:pitch w:val="default"/>
    <w:sig w:usb0="00000000" w:usb1="00000000" w:usb2="00000010" w:usb3="00000000" w:csb0="00040000" w:csb1="00000000"/>
  </w:font>
  <w:font w:name="华文中宋">
    <w:altName w:val="Droid Sans Fallback"/>
    <w:panose1 w:val="02010600040101010101"/>
    <w:charset w:val="86"/>
    <w:family w:val="auto"/>
    <w:pitch w:val="default"/>
    <w:sig w:usb0="00000000" w:usb1="00000000" w:usb2="00000010" w:usb3="00000000" w:csb0="0004009F" w:csb1="00000000"/>
  </w:font>
  <w:font w:name="仿宋">
    <w:altName w:val="Droid Sans Fallbac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9</w:t>
    </w:r>
    <w:r>
      <w:rPr>
        <w:rStyle w:val="14"/>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10</w:t>
    </w:r>
    <w:r>
      <w:rPr>
        <w:rStyle w:val="14"/>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027CBD"/>
    <w:rsid w:val="000602D2"/>
    <w:rsid w:val="00083A86"/>
    <w:rsid w:val="00094854"/>
    <w:rsid w:val="00124EC3"/>
    <w:rsid w:val="0013381C"/>
    <w:rsid w:val="00142BCF"/>
    <w:rsid w:val="001F5820"/>
    <w:rsid w:val="0023476F"/>
    <w:rsid w:val="00256911"/>
    <w:rsid w:val="002F23D4"/>
    <w:rsid w:val="00345CEE"/>
    <w:rsid w:val="00350F6F"/>
    <w:rsid w:val="00356CB6"/>
    <w:rsid w:val="003A6B7D"/>
    <w:rsid w:val="003B1C12"/>
    <w:rsid w:val="003D14A4"/>
    <w:rsid w:val="003D3CFD"/>
    <w:rsid w:val="00423517"/>
    <w:rsid w:val="00430D51"/>
    <w:rsid w:val="0043291D"/>
    <w:rsid w:val="00446788"/>
    <w:rsid w:val="0047181B"/>
    <w:rsid w:val="004975EB"/>
    <w:rsid w:val="004B4315"/>
    <w:rsid w:val="004F01CD"/>
    <w:rsid w:val="004F2764"/>
    <w:rsid w:val="00564FD2"/>
    <w:rsid w:val="005C4405"/>
    <w:rsid w:val="00603963"/>
    <w:rsid w:val="00604850"/>
    <w:rsid w:val="00667AC6"/>
    <w:rsid w:val="00673F9F"/>
    <w:rsid w:val="00683413"/>
    <w:rsid w:val="006841E7"/>
    <w:rsid w:val="006C5D4C"/>
    <w:rsid w:val="006C71DE"/>
    <w:rsid w:val="006D0163"/>
    <w:rsid w:val="006D5A9C"/>
    <w:rsid w:val="007765E0"/>
    <w:rsid w:val="007D457A"/>
    <w:rsid w:val="00817704"/>
    <w:rsid w:val="008818CE"/>
    <w:rsid w:val="008F5699"/>
    <w:rsid w:val="009013E8"/>
    <w:rsid w:val="00942C29"/>
    <w:rsid w:val="00A77BE0"/>
    <w:rsid w:val="00AE193A"/>
    <w:rsid w:val="00AF5B85"/>
    <w:rsid w:val="00B1216F"/>
    <w:rsid w:val="00B12E4C"/>
    <w:rsid w:val="00B54A91"/>
    <w:rsid w:val="00B57648"/>
    <w:rsid w:val="00BA5394"/>
    <w:rsid w:val="00BE0560"/>
    <w:rsid w:val="00BE72E4"/>
    <w:rsid w:val="00BF46A5"/>
    <w:rsid w:val="00C07048"/>
    <w:rsid w:val="00C504BA"/>
    <w:rsid w:val="00C71DCC"/>
    <w:rsid w:val="00CB2E69"/>
    <w:rsid w:val="00CB71AC"/>
    <w:rsid w:val="00D05EA1"/>
    <w:rsid w:val="00D217A1"/>
    <w:rsid w:val="00D3194B"/>
    <w:rsid w:val="00D3734A"/>
    <w:rsid w:val="00D400C8"/>
    <w:rsid w:val="00D52E88"/>
    <w:rsid w:val="00D62AE0"/>
    <w:rsid w:val="00E0151E"/>
    <w:rsid w:val="00E22022"/>
    <w:rsid w:val="00E249C7"/>
    <w:rsid w:val="00E46CBF"/>
    <w:rsid w:val="00E6281E"/>
    <w:rsid w:val="00E8339C"/>
    <w:rsid w:val="00E846AB"/>
    <w:rsid w:val="00EE704A"/>
    <w:rsid w:val="00F0407A"/>
    <w:rsid w:val="00F73DC3"/>
    <w:rsid w:val="A6EF0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5"/>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7"/>
    <w:unhideWhenUsed/>
    <w:qFormat/>
    <w:uiPriority w:val="1"/>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20"/>
    <w:semiHidden/>
    <w:unhideWhenUsed/>
    <w:qFormat/>
    <w:uiPriority w:val="99"/>
    <w:pPr>
      <w:spacing w:after="120"/>
    </w:pPr>
  </w:style>
  <w:style w:type="paragraph" w:styleId="7">
    <w:name w:val="Body Text Indent"/>
    <w:basedOn w:val="1"/>
    <w:link w:val="18"/>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link w:val="28"/>
    <w:unhideWhenUsed/>
    <w:qFormat/>
    <w:uiPriority w:val="99"/>
    <w:pPr>
      <w:tabs>
        <w:tab w:val="center" w:pos="4153"/>
        <w:tab w:val="right" w:pos="8306"/>
      </w:tabs>
      <w:jc w:val="center"/>
    </w:pPr>
    <w:rPr>
      <w:sz w:val="18"/>
      <w:szCs w:val="18"/>
    </w:rPr>
  </w:style>
  <w:style w:type="paragraph" w:styleId="10">
    <w:name w:val="Body Text First Indent"/>
    <w:basedOn w:val="6"/>
    <w:link w:val="21"/>
    <w:unhideWhenUsed/>
    <w:qFormat/>
    <w:uiPriority w:val="1"/>
    <w:pPr>
      <w:ind w:firstLine="420" w:firstLineChars="100"/>
    </w:pPr>
  </w:style>
  <w:style w:type="table" w:styleId="12">
    <w:name w:val="Table Grid"/>
    <w:basedOn w:val="11"/>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style>
  <w:style w:type="character" w:customStyle="1" w:styleId="15">
    <w:name w:val="标题 1 字符"/>
    <w:basedOn w:val="13"/>
    <w:link w:val="3"/>
    <w:qFormat/>
    <w:uiPriority w:val="10"/>
    <w:rPr>
      <w:rFonts w:ascii="Arial" w:hAnsi="Arial" w:eastAsia="宋体" w:cs="Times New Roman"/>
      <w:b/>
      <w:kern w:val="28"/>
      <w:sz w:val="28"/>
      <w:szCs w:val="20"/>
      <w:lang w:val="fi-FI" w:eastAsia="en-US"/>
    </w:rPr>
  </w:style>
  <w:style w:type="character" w:customStyle="1" w:styleId="16">
    <w:name w:val="标题 4 字符"/>
    <w:basedOn w:val="13"/>
    <w:link w:val="4"/>
    <w:qFormat/>
    <w:uiPriority w:val="1"/>
    <w:rPr>
      <w:rFonts w:asciiTheme="majorHAnsi" w:hAnsiTheme="majorHAnsi" w:eastAsiaTheme="majorEastAsia" w:cstheme="majorBidi"/>
      <w:b/>
      <w:bCs/>
      <w:kern w:val="0"/>
      <w:sz w:val="28"/>
      <w:szCs w:val="28"/>
    </w:rPr>
  </w:style>
  <w:style w:type="character" w:customStyle="1" w:styleId="17">
    <w:name w:val="标题 5 字符"/>
    <w:basedOn w:val="13"/>
    <w:link w:val="5"/>
    <w:qFormat/>
    <w:uiPriority w:val="1"/>
    <w:rPr>
      <w:rFonts w:ascii="Tahoma" w:hAnsi="Tahoma" w:eastAsia="微软雅黑"/>
      <w:b/>
      <w:bCs/>
      <w:kern w:val="0"/>
      <w:sz w:val="28"/>
      <w:szCs w:val="28"/>
    </w:rPr>
  </w:style>
  <w:style w:type="character" w:customStyle="1" w:styleId="18">
    <w:name w:val="正文文本缩进 字符"/>
    <w:basedOn w:val="13"/>
    <w:link w:val="7"/>
    <w:qFormat/>
    <w:uiPriority w:val="18"/>
    <w:rPr>
      <w:rFonts w:ascii="Calibri" w:hAnsi="Calibri" w:eastAsia="宋体" w:cs="Times New Roman"/>
      <w:sz w:val="28"/>
      <w:szCs w:val="20"/>
    </w:rPr>
  </w:style>
  <w:style w:type="character" w:customStyle="1" w:styleId="19">
    <w:name w:val="页脚 字符"/>
    <w:basedOn w:val="13"/>
    <w:link w:val="8"/>
    <w:qFormat/>
    <w:uiPriority w:val="99"/>
    <w:rPr>
      <w:rFonts w:ascii="Tahoma" w:hAnsi="Tahoma" w:eastAsia="微软雅黑"/>
      <w:kern w:val="0"/>
      <w:sz w:val="18"/>
      <w:szCs w:val="18"/>
    </w:rPr>
  </w:style>
  <w:style w:type="character" w:customStyle="1" w:styleId="20">
    <w:name w:val="正文文本 字符"/>
    <w:basedOn w:val="13"/>
    <w:link w:val="6"/>
    <w:semiHidden/>
    <w:qFormat/>
    <w:uiPriority w:val="99"/>
    <w:rPr>
      <w:rFonts w:ascii="Tahoma" w:hAnsi="Tahoma" w:eastAsia="微软雅黑"/>
      <w:kern w:val="0"/>
      <w:sz w:val="22"/>
    </w:rPr>
  </w:style>
  <w:style w:type="character" w:customStyle="1" w:styleId="21">
    <w:name w:val="正文文本首行缩进 字符"/>
    <w:basedOn w:val="20"/>
    <w:link w:val="10"/>
    <w:qFormat/>
    <w:uiPriority w:val="1"/>
    <w:rPr>
      <w:rFonts w:ascii="Tahoma" w:hAnsi="Tahoma" w:eastAsia="微软雅黑"/>
      <w:kern w:val="0"/>
      <w:sz w:val="22"/>
    </w:rPr>
  </w:style>
  <w:style w:type="paragraph" w:styleId="22">
    <w:name w:val="List Paragraph"/>
    <w:basedOn w:val="1"/>
    <w:link w:val="27"/>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3">
    <w:name w:val="格式名称"/>
    <w:next w:val="1"/>
    <w:link w:val="24"/>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4">
    <w:name w:val="格式名称 Char"/>
    <w:basedOn w:val="13"/>
    <w:link w:val="23"/>
    <w:qFormat/>
    <w:uiPriority w:val="3"/>
    <w:rPr>
      <w:rFonts w:asciiTheme="majorHAnsi" w:hAnsiTheme="majorHAnsi" w:eastAsiaTheme="majorEastAsia" w:cstheme="majorHAnsi"/>
      <w:kern w:val="0"/>
      <w:sz w:val="32"/>
      <w:szCs w:val="32"/>
    </w:rPr>
  </w:style>
  <w:style w:type="paragraph" w:customStyle="1" w:styleId="25">
    <w:name w:val="表格文字"/>
    <w:link w:val="26"/>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6">
    <w:name w:val="表格文字 Char"/>
    <w:basedOn w:val="13"/>
    <w:link w:val="25"/>
    <w:qFormat/>
    <w:uiPriority w:val="2"/>
    <w:rPr>
      <w:rFonts w:cs="Times New Roman"/>
      <w:kern w:val="0"/>
      <w:szCs w:val="21"/>
    </w:rPr>
  </w:style>
  <w:style w:type="character" w:customStyle="1" w:styleId="27">
    <w:name w:val="列表段落 字符"/>
    <w:link w:val="22"/>
    <w:qFormat/>
    <w:uiPriority w:val="34"/>
    <w:rPr>
      <w:rFonts w:cs="Times New Roman"/>
      <w:kern w:val="0"/>
      <w:sz w:val="24"/>
      <w:szCs w:val="24"/>
    </w:rPr>
  </w:style>
  <w:style w:type="character" w:customStyle="1" w:styleId="28">
    <w:name w:val="页眉 字符"/>
    <w:basedOn w:val="13"/>
    <w:link w:val="9"/>
    <w:qFormat/>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582</Words>
  <Characters>3318</Characters>
  <Lines>27</Lines>
  <Paragraphs>7</Paragraphs>
  <TotalTime>126</TotalTime>
  <ScaleCrop>false</ScaleCrop>
  <LinksUpToDate>false</LinksUpToDate>
  <CharactersWithSpaces>3893</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2024-12-25T16:58:00Z</dcterms:created>
  <dc:creator>dadadexigua</dc:creator>
  <cp:lastModifiedBy>dadadexigua</cp:lastModifiedBy>
  <cp:lastPrinted>2026-04-16T15:05:44Z</cp:lastPrinted>
  <dcterms:modified xsi:type="dcterms:W3CDTF">2026-04-16T15:06:31Z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