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/>
          <w:b w:val="0"/>
          <w:lang w:eastAsia="zh-CN"/>
        </w:rPr>
      </w:pPr>
      <w:r>
        <w:rPr>
          <w:rFonts w:ascii="Times New Roman" w:hAnsi="Times New Roman" w:eastAsia="黑体"/>
          <w:b w:val="0"/>
          <w:lang w:eastAsia="zh-CN"/>
        </w:rPr>
        <w:t>附件</w:t>
      </w:r>
      <w:r>
        <w:rPr>
          <w:rFonts w:hint="eastAsia" w:ascii="Times New Roman" w:hAnsi="Times New Roman" w:eastAsia="黑体"/>
          <w:b w:val="0"/>
          <w:lang w:eastAsia="zh-CN"/>
        </w:rPr>
        <w:t>3</w:t>
      </w:r>
      <w:r>
        <w:rPr>
          <w:rFonts w:ascii="Times New Roman" w:hAnsi="Times New Roman" w:eastAsia="黑体"/>
          <w:b w:val="0"/>
          <w:lang w:eastAsia="zh-CN"/>
        </w:rPr>
        <w:t>报价格式</w:t>
      </w:r>
    </w:p>
    <w:p>
      <w:pPr>
        <w:pStyle w:val="7"/>
        <w:rPr>
          <w:rFonts w:ascii="Times New Roman" w:hAnsi="Times New Roman" w:eastAsia="华文中宋" w:cs="Times New Roman"/>
        </w:rPr>
      </w:pPr>
      <w:r>
        <w:rPr>
          <w:rFonts w:ascii="Times New Roman" w:hAnsi="Times New Roman" w:eastAsia="华文中宋" w:cs="Times New Roman"/>
        </w:rPr>
        <w:t>第</w:t>
      </w:r>
      <w:r>
        <w:rPr>
          <w:rFonts w:ascii="Times New Roman" w:hAnsi="Times New Roman" w:eastAsia="华文中宋" w:cs="Times New Roman"/>
          <w:u w:val="single"/>
        </w:rPr>
        <w:t xml:space="preserve">        </w:t>
      </w:r>
      <w:r>
        <w:rPr>
          <w:rFonts w:ascii="Times New Roman" w:hAnsi="Times New Roman" w:eastAsia="华文中宋" w:cs="Times New Roman"/>
        </w:rPr>
        <w:t>次报价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供应商名称：</w:t>
      </w:r>
      <w:bookmarkStart w:id="0" w:name="_GoBack"/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1"/>
        <w:gridCol w:w="4040"/>
        <w:gridCol w:w="1219"/>
        <w:gridCol w:w="103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9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098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型号和规格</w:t>
            </w:r>
          </w:p>
        </w:tc>
        <w:tc>
          <w:tcPr>
            <w:tcW w:w="633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534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浙江省台州市三门县能源路1号台州第二发电厂循环水阻垢剂运输</w:t>
            </w:r>
          </w:p>
        </w:tc>
        <w:tc>
          <w:tcPr>
            <w:tcW w:w="20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eastAsia="zh-CN"/>
              </w:rPr>
              <w:t>阻垢剂运输要求：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固定专车，4天内直达（提供1-2个固定车牌号，需在台二电厂备案）；车型：9.6米高栏车；每次14个吨桶，现场卸完药剂，空桶随车返回；约20天左右发一次货。一年约18批次。</w:t>
            </w:r>
          </w:p>
        </w:tc>
        <w:tc>
          <w:tcPr>
            <w:tcW w:w="6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约18批次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浙江省台州市三门县能源路1号台州第二发电厂循环水杀菌剂运输</w:t>
            </w:r>
          </w:p>
        </w:tc>
        <w:tc>
          <w:tcPr>
            <w:tcW w:w="20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杀菌剂运输要求：每批次2个吨桶（每桶600公斤）或等量小桶，运抵现场直接现场加入集水池，桶不落地，空桶返回；每年约10批次。</w:t>
            </w:r>
          </w:p>
        </w:tc>
        <w:tc>
          <w:tcPr>
            <w:tcW w:w="6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约10批次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5" w:type="pct"/>
            <w:vAlign w:val="center"/>
          </w:tcPr>
          <w:p>
            <w:pPr>
              <w:pStyle w:val="9"/>
              <w:spacing w:line="276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  <w:t>浙江省宁波市宁海县强蛟镇宁海电厂水处理药剂运输要求</w:t>
            </w:r>
          </w:p>
        </w:tc>
        <w:tc>
          <w:tcPr>
            <w:tcW w:w="20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固定专车，国六或新能源车辆运输 （须符合当地政府要求）；4天内直达（提供1-2个固定车牌号，需在电厂备案）；车型：9.6米高栏车；每批次阻垢剂+杀菌剂共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吨（25公斤小桶），现场卸完药剂，返回约500个空桶；20天左右发一次货，一年约18批次。</w:t>
            </w:r>
          </w:p>
        </w:tc>
        <w:tc>
          <w:tcPr>
            <w:tcW w:w="6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约18批次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before="163" w:beforeLines="5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法定代表人（单位负责人）或授权代表：_______________（签字）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日期：＿＿＿＿年＿＿月＿＿日</w:t>
      </w:r>
    </w:p>
    <w:p>
      <w:pPr>
        <w:rPr>
          <w:rFonts w:ascii="Times New Roman" w:hAnsi="Times New Roman" w:cs="Times New Roman"/>
        </w:rPr>
      </w:pPr>
    </w:p>
    <w:p/>
    <w:sectPr>
      <w:pgSz w:w="11907" w:h="16840"/>
      <w:pgMar w:top="1247" w:right="1247" w:bottom="1247" w:left="1247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15"/>
    <w:rsid w:val="001B7F15"/>
    <w:rsid w:val="00BE72E4"/>
    <w:rsid w:val="9FDF6246"/>
    <w:rsid w:val="E7D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10"/>
    <w:pPr>
      <w:keepNext/>
      <w:adjustRightInd/>
      <w:snapToGrid/>
      <w:spacing w:before="240" w:after="60" w:line="240" w:lineRule="atLeast"/>
      <w:outlineLvl w:val="0"/>
    </w:pPr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1 Char"/>
    <w:basedOn w:val="5"/>
    <w:link w:val="3"/>
    <w:qFormat/>
    <w:uiPriority w:val="10"/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paragraph" w:customStyle="1" w:styleId="7">
    <w:name w:val="格式名称"/>
    <w:next w:val="1"/>
    <w:link w:val="8"/>
    <w:qFormat/>
    <w:uiPriority w:val="3"/>
    <w:pPr>
      <w:keepNext/>
      <w:widowControl w:val="0"/>
      <w:spacing w:before="163" w:beforeLines="50" w:after="163" w:afterLines="50" w:line="360" w:lineRule="auto"/>
      <w:jc w:val="center"/>
    </w:pPr>
    <w:rPr>
      <w:rFonts w:asciiTheme="majorHAnsi" w:hAnsiTheme="majorHAnsi" w:eastAsiaTheme="majorEastAsia" w:cstheme="majorHAnsi"/>
      <w:kern w:val="0"/>
      <w:sz w:val="32"/>
      <w:szCs w:val="32"/>
      <w:lang w:val="en-US" w:eastAsia="zh-CN" w:bidi="ar-SA"/>
    </w:rPr>
  </w:style>
  <w:style w:type="character" w:customStyle="1" w:styleId="8">
    <w:name w:val="格式名称 Char"/>
    <w:basedOn w:val="5"/>
    <w:link w:val="7"/>
    <w:qFormat/>
    <w:uiPriority w:val="3"/>
    <w:rPr>
      <w:rFonts w:asciiTheme="majorHAnsi" w:hAnsiTheme="majorHAnsi" w:eastAsiaTheme="majorEastAsia" w:cstheme="majorHAnsi"/>
      <w:kern w:val="0"/>
      <w:sz w:val="32"/>
      <w:szCs w:val="32"/>
    </w:rPr>
  </w:style>
  <w:style w:type="paragraph" w:customStyle="1" w:styleId="9">
    <w:name w:val="表格文字"/>
    <w:qFormat/>
    <w:uiPriority w:val="2"/>
    <w:pPr>
      <w:widowControl w:val="0"/>
      <w:jc w:val="both"/>
    </w:pPr>
    <w:rPr>
      <w:rFonts w:cs="Times New Roman" w:asciiTheme="minorHAnsi" w:hAnsiTheme="minorHAnsi" w:eastAsiaTheme="minorEastAsia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24</TotalTime>
  <ScaleCrop>false</ScaleCrop>
  <LinksUpToDate>false</LinksUpToDate>
  <CharactersWithSpaces>155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2024-12-26T00:57:00Z</dcterms:created>
  <dc:creator>dadadexigua</dc:creator>
  <cp:lastModifiedBy>dadadexigua</cp:lastModifiedBy>
  <dcterms:modified xsi:type="dcterms:W3CDTF">2026-03-20T09:59:10Z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